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bidi="ar"/>
        </w:rPr>
        <w:t>科技成果登记表</w:t>
      </w:r>
    </w:p>
    <w:tbl>
      <w:tblPr>
        <w:tblStyle w:val="5"/>
        <w:tblpPr w:leftFromText="180" w:rightFromText="180" w:vertAnchor="text" w:horzAnchor="page" w:tblpX="1782" w:tblpY="1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002"/>
        <w:gridCol w:w="363"/>
        <w:gridCol w:w="355"/>
        <w:gridCol w:w="2183"/>
        <w:gridCol w:w="62"/>
        <w:gridCol w:w="444"/>
        <w:gridCol w:w="1191"/>
        <w:gridCol w:w="363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成果名称</w:t>
            </w:r>
          </w:p>
        </w:tc>
        <w:tc>
          <w:tcPr>
            <w:tcW w:w="66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大跨径钢桥免蒸养超高性能混凝土关键技术研究与应用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成果登记号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鲁交科评字[2024]第6号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知识产权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44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44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东营市公路事业发展中心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山东省东营市东营区府前大街130号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44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山东大学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山东省济南市山大南路27号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4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中铁十四局集团第三工程有限公司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山东省济南市长清区紫薇路2999号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4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山东高速工程检测有限公司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山东省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济南市市中区二环东路12550号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4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唐山市星斗路桥机械有限公司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河北省唐山市路北区友谊路科技园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姓名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对成果的贡献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东营市公路事业发展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刘金宝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东营市公路事业发展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总负责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田长进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中国建筑基础设施有限公司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项目技术方案及实施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王希岗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中铁十四局集团第三工程有限公司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刘侃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中铁十四局集团第三工程有限公司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材料研发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王有志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山东大学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项目技术方案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王来永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交通运输部公路科学研究院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项目技术方案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张永江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中铁十四局集团第三工程有限公司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项目技术方案及实施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中铁十四局集团第三工程有限公司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项目技术方案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徐兴伟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山东高速工程检测有限公司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现场实施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王阳春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山东高速工程检测有限公司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现场实施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于兴利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山东东方路桥建设有限公司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现场实施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徐刚年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项目技术方案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安然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山东大学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邱凯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中国矿业大学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王东明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山东大学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庄美玲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南通大学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安爱臣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山东大学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资料整理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成果公报内容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3" w:hRule="atLeas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ind w:firstLine="480" w:firstLineChars="200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课题围绕UHPC桥面铺装材料，以免蒸养UHPC大跨径钢桥应用为目标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依托东营胜利黄河大桥维修加固改造工程，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通过现场调研、理论分析、数值仿真和室内外试验等手段，开展了大跨径钢桥免蒸养超高性能混凝土关键技术与应用研究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提出了免蒸养UHPC配合比多目标联合优化方法，构建了相应的全过程设计体系，得出了免蒸养UHPC优选配比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揭示了温度效应对UHPC矿物掺合料活性的激发机理及对力学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特性的作用机制，建立了不同养护条件下UHPC抗压强度和流变指标预测模型，实现了对UHPC力学及流变性能的动态调控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揭示了多尺度MgO膨胀剂与超吸水树脂（SAP）对免蒸养UHPC早龄期的协同减缩机理，构建了UHPC早龄期自收缩行为预测模型，提出了免蒸养UHPC水化全过程自收缩行为的减缩动态调控技术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研发了桥面UHPC拌合、摊铺、养生等装备，形成了大跨径钢桥免蒸养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UHPC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施工成套技术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为免蒸养UHPC在大跨径钢桥中的应用提供了技术支撑和理论指导，具有显著的社会经济效益。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评价专家名单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专业领域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杨永顺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山东公路学会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道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工程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徐剑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交通运输部公路科学研究院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公路与桥隧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吕思忠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山东高速股份有限公司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道桥工程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薛诩国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中国地质大学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道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工程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尚勇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山东省交通科学研究院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桥梁工程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 晋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山东交通学院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道铁工程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  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辛公锋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山东高速创新研究院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组织评价单位：山东公路学会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outlineLvl w:val="9"/>
              <w:rPr>
                <w:rFonts w:hint="default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2024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年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月</w:t>
            </w:r>
            <w:r>
              <w:rPr>
                <w:rFonts w:hint="eastAsia" w:ascii="宋体" w:hAnsi="Calibri" w:eastAsia="宋体" w:cs="Times New Roman"/>
                <w:bCs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日，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山东公路学会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在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济南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组织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了“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大跨径钢桥免蒸养超高性能混凝土关键技术研究与应用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”研究成果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评价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工作。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评价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委员会（名单附后）听取了项目组的汇报，审阅了相关技术文件，经质询和讨论，形成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评价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意见如下：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outlineLvl w:val="9"/>
              <w:rPr>
                <w:rFonts w:hint="default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一、项目组提交的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资料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齐全，内容完整，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数据翔实，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符合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评价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要求。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outlineLvl w:val="9"/>
              <w:rPr>
                <w:rFonts w:hint="default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二、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项目组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通过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现场调研、理论分析、数值仿真和室内外试验等手段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，开展了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大跨径钢桥免蒸养超高性能混凝土关键技术与应用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研究，取得了如下主要创新成果：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outlineLvl w:val="9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1. 提出了免蒸养UHPC配合比多目标联合优化方法，构建了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相应的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全过程设计体系，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得出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了免蒸养UHPC优选配比。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outlineLvl w:val="9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 xml:space="preserve">2. 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揭示了温度效应对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UHPC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矿物掺合料活性的激发机理及对力学特性的作用机制，建立了不同养护条件下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UHPC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抗压强度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和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流变指标预测模型，实现了对UHPC力学及流变性能的动态调控。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outlineLvl w:val="9"/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 xml:space="preserve">3. 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揭示了多尺度MgO膨胀剂与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超吸水树脂（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SAP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）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对免蒸养UHPC早龄期的协同减缩机理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构建了UHPC早龄期自收缩行为预测模型，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提出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了免蒸养UHPC水化全过程自收缩行为的减缩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动态调控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技术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outlineLvl w:val="9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 xml:space="preserve">4. 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研发了桥面UHPC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拌合、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摊铺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养生等装备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，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形成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了大跨径钢桥免蒸养超高性能混凝土施工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成套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技术。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outlineLvl w:val="9"/>
              <w:rPr>
                <w:rFonts w:hint="default" w:ascii="宋体" w:hAnsi="Calibri" w:eastAsia="宋体" w:cs="Times New Roman"/>
                <w:bCs/>
                <w:sz w:val="24"/>
                <w:lang w:val="en-US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三、研究成果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已在东营胜利黄河大桥维修加固改造工程等项目中成功应用，经济、社会效益显著，推广应用前景广阔。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80" w:lineRule="exact"/>
              <w:ind w:left="0"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综上所述，项目研究成果总体达到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国际先进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水平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其中免蒸养UHPC多目标设计优化方法</w:t>
            </w:r>
            <w:r>
              <w:rPr>
                <w:rFonts w:hint="eastAsia" w:ascii="宋体" w:hAnsi="Calibri" w:eastAsia="宋体" w:cs="Times New Roman"/>
                <w:bCs/>
                <w:sz w:val="24"/>
                <w:shd w:val="clear" w:color="auto" w:fill="auto"/>
                <w:lang w:val="en-US" w:eastAsia="zh-CN"/>
              </w:rPr>
              <w:t>达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到国际领先水平。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mMDVlNGI2MmJkYWRhYjBmZjA2ODZkNmFhNmVjZWIifQ=="/>
  </w:docVars>
  <w:rsids>
    <w:rsidRoot w:val="002362BF"/>
    <w:rsid w:val="000C5229"/>
    <w:rsid w:val="001D39C6"/>
    <w:rsid w:val="002145FD"/>
    <w:rsid w:val="002362BF"/>
    <w:rsid w:val="00493EAD"/>
    <w:rsid w:val="0055526D"/>
    <w:rsid w:val="006C0DD4"/>
    <w:rsid w:val="00D34E33"/>
    <w:rsid w:val="00FB327A"/>
    <w:rsid w:val="00FE134E"/>
    <w:rsid w:val="0C581844"/>
    <w:rsid w:val="103E7EEE"/>
    <w:rsid w:val="159C0E8C"/>
    <w:rsid w:val="18A748ED"/>
    <w:rsid w:val="303A629A"/>
    <w:rsid w:val="329452E1"/>
    <w:rsid w:val="424F0922"/>
    <w:rsid w:val="6A8F45A4"/>
    <w:rsid w:val="6BF84043"/>
    <w:rsid w:val="789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601</Characters>
  <Lines>5</Lines>
  <Paragraphs>1</Paragraphs>
  <TotalTime>6</TotalTime>
  <ScaleCrop>false</ScaleCrop>
  <LinksUpToDate>false</LinksUpToDate>
  <CharactersWithSpaces>705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2022-03-18T03:09:00Z</dcterms:created>
  <dc:creator>sun yujie</dc:creator>
  <cp:lastModifiedBy>非左</cp:lastModifiedBy>
  <cp:lastPrinted>2024-03-18T04:38:49Z</cp:lastPrinted>
  <dcterms:modified xsi:type="dcterms:W3CDTF">2024-03-18T04:39:53Z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CE86C50BE13347679CEA7D0003708D39_13</vt:lpwstr>
  </property>
</Properties>
</file>