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科技成果登记表</w:t>
      </w:r>
    </w:p>
    <w:tbl>
      <w:tblPr>
        <w:tblStyle w:val="4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72"/>
        <w:gridCol w:w="2829"/>
        <w:gridCol w:w="265"/>
        <w:gridCol w:w="419"/>
        <w:gridCol w:w="631"/>
        <w:gridCol w:w="382"/>
        <w:gridCol w:w="98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公路改扩建工程新旧路基差异沉降控制研究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成果登记号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济南市历下区转山西路2号，城市建设大厦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instrText xml:space="preserve"> HYPERLINK "https://ditu.so.com/?pid=e562958818bd1b89&amp;new=1&amp;src=onebox_yuanxiao" \t "https://www.so.com/_blank" </w:instrTex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济南市历城区山大南路27号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山东绿色道路技术与材料研究中心</w:t>
            </w:r>
          </w:p>
        </w:tc>
        <w:tc>
          <w:tcPr>
            <w:tcW w:w="3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济南市历下区转山西路2号，城市建设大厦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杨强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吴建清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技术负责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42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余利军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现场技术负责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张宏博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路基差异沉降体系构建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李中奎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试验段设计方案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宋修广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差异沉降控制标准制定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刘腾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现场试验方案编制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孙召芳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山东鹏程路桥集团有限公司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赵耿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庄培芝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山东大学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路基差异沉降模型试验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姜冬冬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扈萍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济南大学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路基加筋方案优化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郑绍焕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加筋涵洞方案设计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岳红亚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现场试验方案制定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苗芳芳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泡沫轻质土路堤方案设计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王珂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济南市市政工程设计研究院（集团）有限责任公司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路基差异沉降控制标准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泡沫轻质土方案设计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王喆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济南市市政工程设计研究院（集团）有限责任公司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泡沫轻质土力学强度测试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王瑞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室内土工试验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孙润生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济南市市政工程设计研究院(集团）有限责任公司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拓宽路基加筋方案优化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袁英杰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齐晓琳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淄博市交通运输局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泡沫轻质土研发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江坦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路基加筋方案设计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杨振宇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济南市交通工程质量与安全中心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加筋涵洞力学分析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韩宾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李为传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同圆设计集团股份有限公司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加筋涵洞现场试验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王宗麟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济南金衢公路勘察设计研究有限公司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现场监测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姚义胜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济南城市建设集团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桥头跳车效果验算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课题针对改扩建公路新旧路基差异沉降问题，依托G220公路改扩建工程，综合采用理论分析、现场调查及室内外试验，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创立了公路改扩建工程新旧路基变形协调量化分级标准，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揭示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了拓宽路基差异变形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关键影响因素及分布规律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。构建了适用于新旧路基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及构筑物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差异变形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的综合处治技术体系，内容涵盖拓宽路基加筋、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涵洞顶部路堤加筋、桥头轻质路堤等处治技术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研发了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粉土基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泡沫轻质土新材料，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对相关设计方案进行了优化分析，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并进行了工程应用示范。项目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改扩建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公路新旧路基差异变形控制具有重要的工程应用价值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，实现了改扩建工程绿色建设示范效应，社会与环境效益巨大，推广前景广阔。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/>
                <w:lang w:val="en-US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李英勇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山东省交通运输事业服务中心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雷国辉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河海大学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岩土工程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  勇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山东省交通科学研究院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毕玉峰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  晋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山东交通学院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岩土工程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张思峰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山东建筑大学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岩土工程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辛公锋</w:t>
            </w:r>
          </w:p>
        </w:tc>
        <w:tc>
          <w:tcPr>
            <w:tcW w:w="3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山东高速集团创新研究院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日，山东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公路学会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济南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组织了“公路改扩建工程新旧路基差异沉降控制研究”成果评价工作。评价委员会（名单附后）听取了项目组的汇报，审阅了相关技术文件，经质询和讨论，形成评价意见如下：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一、项目组提交的技术文件齐全，内容完整，符合评价要求。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二、项目组通过理论分析、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室内试验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模型试验及现场测试等方法，开展了公路改扩建新旧路基差异沉降发生机理、控制标准及沉降控制技术等方面的研究，取得了如下主要创新成果：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1.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基于拓宽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路基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路面结构设计要求与地基差异沉降影响分析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提出了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公路改扩建工程新旧路基差异沉降量化分级控制标准。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揭示了不同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模量比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条件下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路基与涵洞段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差异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变形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特征及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不同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加筋技术参数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的影响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规律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提出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了加筋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路堤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下涵顶土压力计算公式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及差异沉降控制技术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3.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研发了粉土基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泡沫轻质土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新材料，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构建了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新旧路基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差异沉降控制技术体系。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三、项目成果在G220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S102等公路改扩建工程中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得到成功应用，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对于指导拓宽公路差异沉降控制具有重要的指导意义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综上所述，项目研究成果总体上达到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国际先进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水平。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进一步推广应用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13A7E"/>
    <w:rsid w:val="377E53C9"/>
    <w:rsid w:val="3A541E5E"/>
    <w:rsid w:val="3B5E5B57"/>
    <w:rsid w:val="5B213A7E"/>
    <w:rsid w:val="695523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sz w:val="30"/>
    </w:rPr>
  </w:style>
  <w:style w:type="paragraph" w:styleId="3">
    <w:name w:val="Body Text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楷体_GB2312" w:hAnsi="Times New Roman" w:eastAsia="楷体_GB2312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2022-02-03T09:26:00Z</dcterms:created>
  <dc:creator>张宏博</dc:creator>
  <cp:lastModifiedBy>非左</cp:lastModifiedBy>
  <dcterms:modified xsi:type="dcterms:W3CDTF">2022-03-02T02:18:13Z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B9BD28AB19CD4828BADB1C150092841E</vt:lpwstr>
  </property>
</Properties>
</file>