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5CD25">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sz w:val="36"/>
          <w:szCs w:val="36"/>
          <w:lang w:val="en-US"/>
        </w:rPr>
      </w:pPr>
      <w:r>
        <w:rPr>
          <w:rFonts w:hint="eastAsia" w:ascii="宋体" w:hAnsi="宋体" w:eastAsia="宋体" w:cs="宋体"/>
          <w:b/>
          <w:bCs w:val="0"/>
          <w:kern w:val="2"/>
          <w:sz w:val="36"/>
          <w:szCs w:val="36"/>
          <w:lang w:val="en-US" w:eastAsia="zh-CN" w:bidi="ar"/>
        </w:rPr>
        <w:t>科技成果登记表</w:t>
      </w:r>
    </w:p>
    <w:tbl>
      <w:tblPr>
        <w:tblStyle w:val="2"/>
        <w:tblpPr w:leftFromText="180" w:rightFromText="180" w:vertAnchor="text" w:horzAnchor="page" w:tblpX="1781" w:tblpY="158"/>
        <w:tblOverlap w:val="never"/>
        <w:tblW w:w="8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000"/>
        <w:gridCol w:w="716"/>
        <w:gridCol w:w="2386"/>
        <w:gridCol w:w="300"/>
        <w:gridCol w:w="145"/>
        <w:gridCol w:w="1044"/>
        <w:gridCol w:w="2067"/>
      </w:tblGrid>
      <w:tr w14:paraId="07F2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394E2DC0">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成果名称</w:t>
            </w:r>
          </w:p>
        </w:tc>
        <w:tc>
          <w:tcPr>
            <w:tcW w:w="6658" w:type="dxa"/>
            <w:gridSpan w:val="6"/>
            <w:tcBorders>
              <w:top w:val="single" w:color="auto" w:sz="4" w:space="0"/>
              <w:left w:val="single" w:color="auto" w:sz="4" w:space="0"/>
              <w:bottom w:val="single" w:color="auto" w:sz="4" w:space="0"/>
              <w:right w:val="single" w:color="auto" w:sz="4" w:space="0"/>
            </w:tcBorders>
            <w:noWrap w:val="0"/>
            <w:vAlign w:val="center"/>
          </w:tcPr>
          <w:p w14:paraId="414CC9AA">
            <w:pPr>
              <w:jc w:val="center"/>
              <w:rPr>
                <w:rFonts w:hint="eastAsia" w:ascii="宋体" w:hAnsi="宋体" w:eastAsia="宋体" w:cs="宋体"/>
                <w:b w:val="0"/>
                <w:bCs/>
                <w:sz w:val="24"/>
                <w:szCs w:val="24"/>
                <w:lang w:val="en-US"/>
              </w:rPr>
            </w:pPr>
            <w:r>
              <w:rPr>
                <w:rFonts w:hint="eastAsia" w:ascii="宋体" w:hAnsi="宋体" w:eastAsia="宋体" w:cs="宋体"/>
                <w:b w:val="0"/>
                <w:bCs/>
                <w:sz w:val="24"/>
                <w:szCs w:val="24"/>
                <w:lang w:val="en-US" w:eastAsia="zh-CN"/>
              </w:rPr>
              <w:t>高速公路轻质固废与粉土混合料路用性能与施工技术研究</w:t>
            </w:r>
          </w:p>
        </w:tc>
      </w:tr>
      <w:tr w14:paraId="215F1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2B46CA4C">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成果登记号</w:t>
            </w:r>
          </w:p>
        </w:tc>
        <w:tc>
          <w:tcPr>
            <w:tcW w:w="3102" w:type="dxa"/>
            <w:gridSpan w:val="2"/>
            <w:tcBorders>
              <w:top w:val="single" w:color="auto" w:sz="4" w:space="0"/>
              <w:left w:val="single" w:color="auto" w:sz="4" w:space="0"/>
              <w:bottom w:val="single" w:color="auto" w:sz="4" w:space="0"/>
              <w:right w:val="single" w:color="auto" w:sz="4" w:space="0"/>
            </w:tcBorders>
            <w:shd w:val="clear"/>
            <w:noWrap w:val="0"/>
            <w:vAlign w:val="center"/>
          </w:tcPr>
          <w:p w14:paraId="111717A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鲁交科评字[2026]第12号</w:t>
            </w:r>
          </w:p>
        </w:tc>
        <w:tc>
          <w:tcPr>
            <w:tcW w:w="148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27E50C9">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知识产权</w:t>
            </w:r>
          </w:p>
        </w:tc>
        <w:tc>
          <w:tcPr>
            <w:tcW w:w="20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36C114">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bookmarkStart w:id="0" w:name="_GoBack"/>
            <w:bookmarkEnd w:id="0"/>
          </w:p>
        </w:tc>
      </w:tr>
      <w:tr w14:paraId="132C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10" w:type="dxa"/>
            <w:gridSpan w:val="8"/>
            <w:tcBorders>
              <w:top w:val="single" w:color="auto" w:sz="4" w:space="0"/>
              <w:left w:val="single" w:color="auto" w:sz="4" w:space="0"/>
              <w:bottom w:val="single" w:color="auto" w:sz="4" w:space="0"/>
              <w:right w:val="single" w:color="auto" w:sz="4" w:space="0"/>
            </w:tcBorders>
            <w:noWrap w:val="0"/>
            <w:vAlign w:val="center"/>
          </w:tcPr>
          <w:p w14:paraId="430B378B">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完成单位</w:t>
            </w:r>
          </w:p>
        </w:tc>
      </w:tr>
      <w:tr w14:paraId="6116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2" w:type="dxa"/>
            <w:tcBorders>
              <w:top w:val="single" w:color="auto" w:sz="4" w:space="0"/>
              <w:left w:val="single" w:color="auto" w:sz="4" w:space="0"/>
              <w:bottom w:val="single" w:color="auto" w:sz="4" w:space="0"/>
              <w:right w:val="single" w:color="auto" w:sz="4" w:space="0"/>
            </w:tcBorders>
            <w:noWrap w:val="0"/>
            <w:vAlign w:val="top"/>
          </w:tcPr>
          <w:p w14:paraId="6DFD2A0F">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序号</w:t>
            </w:r>
          </w:p>
        </w:tc>
        <w:tc>
          <w:tcPr>
            <w:tcW w:w="4547" w:type="dxa"/>
            <w:gridSpan w:val="5"/>
            <w:tcBorders>
              <w:top w:val="single" w:color="auto" w:sz="4" w:space="0"/>
              <w:left w:val="single" w:color="auto" w:sz="4" w:space="0"/>
              <w:bottom w:val="single" w:color="auto" w:sz="4" w:space="0"/>
              <w:right w:val="single" w:color="auto" w:sz="4" w:space="0"/>
            </w:tcBorders>
            <w:noWrap w:val="0"/>
            <w:vAlign w:val="top"/>
          </w:tcPr>
          <w:p w14:paraId="4D0206E8">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单位名称</w:t>
            </w:r>
          </w:p>
        </w:tc>
        <w:tc>
          <w:tcPr>
            <w:tcW w:w="3111" w:type="dxa"/>
            <w:gridSpan w:val="2"/>
            <w:tcBorders>
              <w:top w:val="single" w:color="auto" w:sz="4" w:space="0"/>
              <w:left w:val="single" w:color="auto" w:sz="4" w:space="0"/>
              <w:bottom w:val="single" w:color="auto" w:sz="4" w:space="0"/>
              <w:right w:val="single" w:color="auto" w:sz="4" w:space="0"/>
            </w:tcBorders>
            <w:noWrap w:val="0"/>
            <w:vAlign w:val="top"/>
          </w:tcPr>
          <w:p w14:paraId="0B74EC05">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通讯地址</w:t>
            </w:r>
          </w:p>
        </w:tc>
      </w:tr>
      <w:tr w14:paraId="6BFD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2" w:type="dxa"/>
            <w:tcBorders>
              <w:top w:val="single" w:color="auto" w:sz="4" w:space="0"/>
              <w:left w:val="single" w:color="auto" w:sz="4" w:space="0"/>
              <w:bottom w:val="single" w:color="auto" w:sz="4" w:space="0"/>
              <w:right w:val="single" w:color="auto" w:sz="4" w:space="0"/>
            </w:tcBorders>
            <w:noWrap w:val="0"/>
            <w:vAlign w:val="center"/>
          </w:tcPr>
          <w:p w14:paraId="607F4056">
            <w:pPr>
              <w:jc w:val="center"/>
              <w:rPr>
                <w:rFonts w:hint="eastAsia" w:ascii="宋体" w:hAnsi="宋体" w:eastAsia="宋体" w:cs="宋体"/>
                <w:b w:val="0"/>
                <w:bCs/>
                <w:sz w:val="24"/>
                <w:szCs w:val="24"/>
                <w:lang w:val="en-US"/>
              </w:rPr>
            </w:pPr>
            <w:r>
              <w:rPr>
                <w:rFonts w:hint="eastAsia" w:ascii="宋体" w:hAnsi="宋体" w:eastAsia="宋体" w:cs="宋体"/>
                <w:b w:val="0"/>
                <w:bCs/>
                <w:sz w:val="24"/>
                <w:szCs w:val="24"/>
                <w:lang w:val="en-US" w:eastAsia="zh-CN"/>
              </w:rPr>
              <w:t>1</w:t>
            </w:r>
          </w:p>
        </w:tc>
        <w:tc>
          <w:tcPr>
            <w:tcW w:w="4547"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2731FA5">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1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A0D59BB">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山东省济南市历下区经十路14677号</w:t>
            </w:r>
          </w:p>
        </w:tc>
      </w:tr>
      <w:tr w14:paraId="4F79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2" w:type="dxa"/>
            <w:tcBorders>
              <w:top w:val="single" w:color="auto" w:sz="4" w:space="0"/>
              <w:left w:val="single" w:color="auto" w:sz="4" w:space="0"/>
              <w:bottom w:val="single" w:color="auto" w:sz="4" w:space="0"/>
              <w:right w:val="single" w:color="auto" w:sz="4" w:space="0"/>
            </w:tcBorders>
            <w:noWrap w:val="0"/>
            <w:vAlign w:val="center"/>
          </w:tcPr>
          <w:p w14:paraId="1F1DA0E5">
            <w:pPr>
              <w:jc w:val="center"/>
              <w:rPr>
                <w:rFonts w:hint="default" w:ascii="宋体" w:hAnsi="宋体" w:eastAsia="宋体" w:cs="宋体"/>
                <w:b w:val="0"/>
                <w:bCs/>
                <w:sz w:val="24"/>
                <w:szCs w:val="24"/>
                <w:lang w:val="en-US"/>
              </w:rPr>
            </w:pPr>
            <w:r>
              <w:rPr>
                <w:rFonts w:hint="eastAsia" w:ascii="宋体" w:hAnsi="宋体" w:eastAsia="宋体" w:cs="宋体"/>
                <w:b w:val="0"/>
                <w:bCs/>
                <w:sz w:val="24"/>
                <w:szCs w:val="24"/>
                <w:lang w:val="en-US" w:eastAsia="zh-CN"/>
              </w:rPr>
              <w:t>2</w:t>
            </w:r>
          </w:p>
        </w:tc>
        <w:tc>
          <w:tcPr>
            <w:tcW w:w="4547"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329125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1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E96AF5D">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山东省青岛市黄岛区前湾港路579号</w:t>
            </w:r>
          </w:p>
        </w:tc>
      </w:tr>
      <w:tr w14:paraId="6930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10" w:type="dxa"/>
            <w:gridSpan w:val="8"/>
            <w:tcBorders>
              <w:top w:val="single" w:color="auto" w:sz="4" w:space="0"/>
              <w:left w:val="single" w:color="auto" w:sz="4" w:space="0"/>
              <w:bottom w:val="single" w:color="auto" w:sz="4" w:space="0"/>
              <w:right w:val="single" w:color="auto" w:sz="4" w:space="0"/>
            </w:tcBorders>
            <w:noWrap w:val="0"/>
            <w:vAlign w:val="top"/>
          </w:tcPr>
          <w:p w14:paraId="5E431DCA">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完成人</w:t>
            </w:r>
          </w:p>
        </w:tc>
      </w:tr>
      <w:tr w14:paraId="42E7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2" w:type="dxa"/>
            <w:tcBorders>
              <w:top w:val="single" w:color="auto" w:sz="4" w:space="0"/>
              <w:left w:val="single" w:color="auto" w:sz="4" w:space="0"/>
              <w:bottom w:val="single" w:color="auto" w:sz="4" w:space="0"/>
              <w:right w:val="single" w:color="auto" w:sz="4" w:space="0"/>
            </w:tcBorders>
            <w:noWrap w:val="0"/>
            <w:vAlign w:val="center"/>
          </w:tcPr>
          <w:p w14:paraId="4EB46D10">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序号</w:t>
            </w:r>
          </w:p>
        </w:tc>
        <w:tc>
          <w:tcPr>
            <w:tcW w:w="1716" w:type="dxa"/>
            <w:gridSpan w:val="2"/>
            <w:tcBorders>
              <w:top w:val="single" w:color="auto" w:sz="4" w:space="0"/>
              <w:left w:val="single" w:color="auto" w:sz="4" w:space="0"/>
              <w:bottom w:val="single" w:color="auto" w:sz="4" w:space="0"/>
              <w:right w:val="single" w:color="auto" w:sz="4" w:space="0"/>
            </w:tcBorders>
            <w:noWrap w:val="0"/>
            <w:vAlign w:val="center"/>
          </w:tcPr>
          <w:p w14:paraId="13B7B86A">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姓名</w:t>
            </w:r>
          </w:p>
        </w:tc>
        <w:tc>
          <w:tcPr>
            <w:tcW w:w="2686" w:type="dxa"/>
            <w:gridSpan w:val="2"/>
            <w:tcBorders>
              <w:top w:val="single" w:color="auto" w:sz="4" w:space="0"/>
              <w:left w:val="single" w:color="auto" w:sz="4" w:space="0"/>
              <w:bottom w:val="single" w:color="auto" w:sz="4" w:space="0"/>
              <w:right w:val="single" w:color="auto" w:sz="4" w:space="0"/>
            </w:tcBorders>
            <w:noWrap w:val="0"/>
            <w:vAlign w:val="center"/>
          </w:tcPr>
          <w:p w14:paraId="3E29D1C0">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工作单位</w:t>
            </w:r>
          </w:p>
        </w:tc>
        <w:tc>
          <w:tcPr>
            <w:tcW w:w="3256" w:type="dxa"/>
            <w:gridSpan w:val="3"/>
            <w:tcBorders>
              <w:top w:val="single" w:color="auto" w:sz="4" w:space="0"/>
              <w:left w:val="single" w:color="auto" w:sz="4" w:space="0"/>
              <w:bottom w:val="single" w:color="auto" w:sz="4" w:space="0"/>
              <w:right w:val="single" w:color="auto" w:sz="4" w:space="0"/>
            </w:tcBorders>
            <w:noWrap w:val="0"/>
            <w:vAlign w:val="center"/>
          </w:tcPr>
          <w:p w14:paraId="7EE41D92">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对成果的贡献</w:t>
            </w:r>
          </w:p>
        </w:tc>
      </w:tr>
      <w:tr w14:paraId="2D71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871001">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D65260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王志超</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4E6944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77F170">
            <w:pPr>
              <w:jc w:val="center"/>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项目负责人</w:t>
            </w:r>
          </w:p>
        </w:tc>
      </w:tr>
      <w:tr w14:paraId="73CB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0289BC">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BA83F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刘长瑞</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67651B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11FE859">
            <w:pPr>
              <w:jc w:val="center"/>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技术负责人</w:t>
            </w:r>
          </w:p>
        </w:tc>
      </w:tr>
      <w:tr w14:paraId="084D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E9E616">
            <w:pPr>
              <w:jc w:val="center"/>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CBC33E0">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王文排</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FBA75AA">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6BF5F1">
            <w:pPr>
              <w:jc w:val="center"/>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现场检测</w:t>
            </w:r>
          </w:p>
        </w:tc>
      </w:tr>
      <w:tr w14:paraId="0077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1D4C56">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2B94C6E">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李猛</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2CAE80">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F85720">
            <w:pPr>
              <w:jc w:val="center"/>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现场施工</w:t>
            </w:r>
          </w:p>
        </w:tc>
      </w:tr>
      <w:tr w14:paraId="16A3A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44EE3D">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B37AC0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刘乃彬</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F4F8C2E">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739EB6">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安全监测</w:t>
            </w:r>
          </w:p>
        </w:tc>
      </w:tr>
      <w:tr w14:paraId="3283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A6CB40">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7923A6F">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纪巧玲</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7C7D6CE">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84D4DCF">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技术总负责</w:t>
            </w:r>
          </w:p>
        </w:tc>
      </w:tr>
      <w:tr w14:paraId="2655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B7D6B5">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B037B2E">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程钰</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A192CE8">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64B415D">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数据整理汇总</w:t>
            </w:r>
          </w:p>
        </w:tc>
      </w:tr>
      <w:tr w14:paraId="7E80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A7FE2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AD00B9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贾秀茹</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FD07AFE">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C855F38">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室内实验</w:t>
            </w:r>
          </w:p>
        </w:tc>
      </w:tr>
      <w:tr w14:paraId="5991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41D868">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9</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5B1DB0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李思庆</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CF4CECD">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0F3DB1">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工艺技术研究</w:t>
            </w:r>
          </w:p>
        </w:tc>
      </w:tr>
      <w:tr w14:paraId="4CDC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A96DA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10</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570A12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肖春良</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05ACAC8">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70E3AC1">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工艺技术研究</w:t>
            </w:r>
          </w:p>
        </w:tc>
      </w:tr>
      <w:tr w14:paraId="00BA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EE503B">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11</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80BE39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兰超朋</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785EC6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388F65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现场实践</w:t>
            </w:r>
          </w:p>
        </w:tc>
      </w:tr>
      <w:tr w14:paraId="5DC6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6FA31F">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12</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66CFFC">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温大政</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19342C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AAE8801">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现场实践</w:t>
            </w:r>
          </w:p>
        </w:tc>
      </w:tr>
      <w:tr w14:paraId="32AE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9A008B">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13</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0682531">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贾同志</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19CD81">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6406DD">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现场实践</w:t>
            </w:r>
          </w:p>
        </w:tc>
      </w:tr>
      <w:tr w14:paraId="5AA2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282F42">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14</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148BF77">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张新伟</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9D0B75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5CDAE08">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工艺技术研究</w:t>
            </w:r>
          </w:p>
        </w:tc>
      </w:tr>
      <w:tr w14:paraId="5245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EF323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15</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EA6B25E">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王春波</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5711E51">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20BB9B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室内外试验</w:t>
            </w:r>
          </w:p>
        </w:tc>
      </w:tr>
      <w:tr w14:paraId="1F36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C832EE">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16</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53E1657">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朱利坤</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27A23C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山东省公路桥梁建设集团有限公司</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5E2BBC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工艺技术研究</w:t>
            </w:r>
          </w:p>
        </w:tc>
      </w:tr>
      <w:tr w14:paraId="32AE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8CA362">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17</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19EB01F">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程冠军</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DEF4E95">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AE6E32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室内实验</w:t>
            </w:r>
          </w:p>
        </w:tc>
      </w:tr>
      <w:tr w14:paraId="6B4C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55B5C7">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18</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9407DA3">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温振贺</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B2944CA">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2FCE8CC">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现场试验</w:t>
            </w:r>
          </w:p>
        </w:tc>
      </w:tr>
      <w:tr w14:paraId="5627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7C7AC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19</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409D9FB">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王文通</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0D5FF0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702664D">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现场检测</w:t>
            </w:r>
          </w:p>
        </w:tc>
      </w:tr>
      <w:tr w14:paraId="2CC9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04F06A">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20</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537D4C2">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贾明</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E31260">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64BA7A2">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现场试验</w:t>
            </w:r>
          </w:p>
        </w:tc>
      </w:tr>
      <w:tr w14:paraId="61BE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FBCD05">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21</w:t>
            </w:r>
          </w:p>
        </w:tc>
        <w:tc>
          <w:tcPr>
            <w:tcW w:w="171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F99FB0D">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张雪</w:t>
            </w:r>
          </w:p>
        </w:tc>
        <w:tc>
          <w:tcPr>
            <w:tcW w:w="268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4CD2B84">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山东科技大学</w:t>
            </w:r>
          </w:p>
        </w:tc>
        <w:tc>
          <w:tcPr>
            <w:tcW w:w="3256"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21A689">
            <w:pPr>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报告撰写</w:t>
            </w:r>
          </w:p>
        </w:tc>
      </w:tr>
      <w:tr w14:paraId="3C85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10" w:type="dxa"/>
            <w:gridSpan w:val="8"/>
            <w:tcBorders>
              <w:top w:val="single" w:color="auto" w:sz="4" w:space="0"/>
              <w:left w:val="single" w:color="auto" w:sz="4" w:space="0"/>
              <w:bottom w:val="single" w:color="auto" w:sz="4" w:space="0"/>
              <w:right w:val="single" w:color="auto" w:sz="4" w:space="0"/>
            </w:tcBorders>
            <w:noWrap w:val="0"/>
            <w:vAlign w:val="top"/>
          </w:tcPr>
          <w:p w14:paraId="3756F7E0">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成果公报内容</w:t>
            </w:r>
          </w:p>
        </w:tc>
      </w:tr>
      <w:tr w14:paraId="7346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510" w:type="dxa"/>
            <w:gridSpan w:val="8"/>
            <w:tcBorders>
              <w:top w:val="nil"/>
              <w:left w:val="single" w:color="auto" w:sz="4" w:space="0"/>
              <w:bottom w:val="single" w:color="auto" w:sz="4" w:space="0"/>
              <w:right w:val="single" w:color="auto" w:sz="4" w:space="0"/>
            </w:tcBorders>
            <w:noWrap w:val="0"/>
            <w:vAlign w:val="top"/>
          </w:tcPr>
          <w:p w14:paraId="4284E9E1">
            <w:pPr>
              <w:spacing w:line="360" w:lineRule="auto"/>
              <w:ind w:firstLine="480" w:firstLineChars="200"/>
              <w:jc w:val="left"/>
              <w:rPr>
                <w:rFonts w:hint="eastAsia" w:ascii="宋体" w:hAnsi="宋体" w:eastAsia="宋体" w:cs="宋体"/>
                <w:b w:val="0"/>
                <w:bCs/>
                <w:sz w:val="24"/>
                <w:szCs w:val="24"/>
                <w:lang w:val="en-US"/>
              </w:rPr>
            </w:pPr>
            <w:r>
              <w:rPr>
                <w:rFonts w:hint="eastAsia" w:ascii="宋体" w:hAnsi="宋体" w:eastAsia="宋体" w:cs="宋体"/>
                <w:b w:val="0"/>
                <w:bCs/>
                <w:sz w:val="24"/>
                <w:szCs w:val="24"/>
                <w:lang w:val="en-US" w:eastAsia="zh-CN"/>
              </w:rPr>
              <w:t>黄河流域黄泛区粉土存在压实困难、水稳定性差等缺陷，粉煤灰、钢渣、赤泥等工业固废堆积严重污染环境，且高速公路建设对优质路基填料需求迫切，本研究聚焦破解这一核心矛盾。通过室内物理性质试验、力学特性试验（抗压、抗剪、冻融循环等）及微观分析（SEM、XRD），结合正交设计、响应面法优化配比，研发专用施工设备，构建现场施工工艺与质量控制体系。核心创新在于建立钢渣骨架增强、多源固废协同固化技术体系，形成压实度-粉煤灰掺量双控质量评估方法，研发就地混拌、洒水摊铺专用设备，提出14d/28d强度预测模型，建立了多源固废协同改性的技术路径，明确了钢渣、赤泥、脱硫石膏等在水泥/石灰激发下的增强机理与最优掺量，实现了路基材料强度与耐久性的协同提升。应用后路基材料CBR值、回弹模量显著提升，抗冻抗湿性能达标，满足高速公路路基设计要求。社会经济效益显著，仅济荷高速试验段可消纳粉煤灰等固废超万吨，节约土地资源、降低固废处置成本，减少优质筑路材料开采，使工程造价降低30%以上，同时减少固废污染，助力黄河流域生态保护，实现“固废利用、提质增效”双重目标。</w:t>
            </w:r>
          </w:p>
        </w:tc>
      </w:tr>
      <w:tr w14:paraId="4FC4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10" w:type="dxa"/>
            <w:gridSpan w:val="8"/>
            <w:tcBorders>
              <w:top w:val="single" w:color="auto" w:sz="4" w:space="0"/>
              <w:left w:val="single" w:color="auto" w:sz="4" w:space="0"/>
              <w:bottom w:val="single" w:color="auto" w:sz="4" w:space="0"/>
              <w:right w:val="single" w:color="auto" w:sz="4" w:space="0"/>
            </w:tcBorders>
            <w:noWrap w:val="0"/>
            <w:vAlign w:val="center"/>
          </w:tcPr>
          <w:p w14:paraId="4176B821">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组织评价单位：山东公路学会</w:t>
            </w:r>
          </w:p>
        </w:tc>
      </w:tr>
      <w:tr w14:paraId="2B01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510" w:type="dxa"/>
            <w:gridSpan w:val="8"/>
            <w:tcBorders>
              <w:top w:val="single" w:color="auto" w:sz="4" w:space="0"/>
              <w:left w:val="single" w:color="auto" w:sz="4" w:space="0"/>
              <w:bottom w:val="single" w:color="auto" w:sz="4" w:space="0"/>
              <w:right w:val="single" w:color="auto" w:sz="4" w:space="0"/>
            </w:tcBorders>
            <w:noWrap w:val="0"/>
            <w:vAlign w:val="center"/>
          </w:tcPr>
          <w:p w14:paraId="495227B6">
            <w:pPr>
              <w:keepNext w:val="0"/>
              <w:keepLines w:val="0"/>
              <w:widowControl w:val="0"/>
              <w:suppressLineNumbers w:val="0"/>
              <w:spacing w:before="0" w:beforeAutospacing="0" w:after="0" w:afterAutospacing="0"/>
              <w:ind w:left="0" w:right="0"/>
              <w:jc w:val="center"/>
              <w:rPr>
                <w:rFonts w:hint="eastAsia" w:ascii="仿宋" w:hAnsi="仿宋" w:eastAsia="仿宋" w:cs="仿宋"/>
                <w:b/>
                <w:bCs w:val="0"/>
                <w:sz w:val="28"/>
                <w:szCs w:val="28"/>
                <w:lang w:val="en-US"/>
              </w:rPr>
            </w:pPr>
            <w:r>
              <w:rPr>
                <w:rFonts w:hint="eastAsia" w:ascii="仿宋" w:hAnsi="仿宋" w:eastAsia="仿宋" w:cs="仿宋"/>
                <w:b/>
                <w:bCs w:val="0"/>
                <w:kern w:val="2"/>
                <w:sz w:val="28"/>
                <w:szCs w:val="28"/>
                <w:lang w:val="en-US" w:eastAsia="zh-CN" w:bidi="ar"/>
              </w:rPr>
              <w:t>评价意见</w:t>
            </w:r>
          </w:p>
        </w:tc>
      </w:tr>
      <w:tr w14:paraId="616A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510" w:type="dxa"/>
            <w:gridSpan w:val="8"/>
            <w:tcBorders>
              <w:top w:val="single" w:color="auto" w:sz="4" w:space="0"/>
              <w:left w:val="single" w:color="auto" w:sz="4" w:space="0"/>
              <w:bottom w:val="single" w:color="auto" w:sz="4" w:space="0"/>
              <w:right w:val="single" w:color="auto" w:sz="4" w:space="0"/>
            </w:tcBorders>
            <w:noWrap w:val="0"/>
            <w:vAlign w:val="center"/>
          </w:tcPr>
          <w:p w14:paraId="5A38D65E">
            <w:pPr>
              <w:spacing w:line="360" w:lineRule="auto"/>
              <w:ind w:firstLine="480" w:firstLineChars="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2026年4月14日，山东公路学会在济南组织了“高速公路轻质固废与粉土混合料路用性能与施工技术研究”成果评价工作。评价委员会（名单附后）听取了项目组的汇报，审阅了相关技术文件，经质询和讨论，形成评价意见如下：</w:t>
            </w:r>
          </w:p>
          <w:p w14:paraId="5184B2A2">
            <w:pPr>
              <w:spacing w:line="360" w:lineRule="auto"/>
              <w:ind w:firstLine="480" w:firstLineChars="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一、项目组提交的技术文件齐全，内容完整，数据翔实，符合评价要求。</w:t>
            </w:r>
          </w:p>
          <w:p w14:paraId="6AC5CC90">
            <w:pPr>
              <w:spacing w:line="360" w:lineRule="auto"/>
              <w:ind w:firstLine="480" w:firstLineChars="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二、项目组采用理论分析、室内外试验与工程验证相结合的方法，开展了黄河流域粉土改良、多源固废协同固化配比优化及性能评价、施工质量控制等研究，取得了如下主要创新成果：</w:t>
            </w:r>
          </w:p>
          <w:p w14:paraId="414596BD">
            <w:pPr>
              <w:spacing w:line="360" w:lineRule="auto"/>
              <w:ind w:firstLine="480" w:firstLineChars="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 建立了轻质固废与粉土混合料的压实度和粉煤灰掺量双因素-CBR的预测模型，提出了以压实度-粉煤灰掺量为核心的双指标控制方法，为轻质固废道路路基CBR值的预估提供依据。</w:t>
            </w:r>
          </w:p>
          <w:p w14:paraId="785C8156">
            <w:pPr>
              <w:spacing w:line="360" w:lineRule="auto"/>
              <w:ind w:firstLine="480" w:firstLineChars="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 揭示了赤泥-脱硫石膏-粉煤灰协同作用的化学产物和孔隙结构的调控机理，构建了多源固废协同激发的低碳胶凝体系，形成了配比优化方案。</w:t>
            </w:r>
          </w:p>
          <w:p w14:paraId="3AF77251">
            <w:pPr>
              <w:spacing w:line="360" w:lineRule="auto"/>
              <w:ind w:firstLine="480" w:firstLineChars="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三、研究成果在山东滨州北海基础设施建设项目路网工程中东十四路进行了应用，对路基工程质量管控、工业固废资源化利用及黄河流域相关工程建设具有支撑作用与推广意义，社会经济生态效益明显。</w:t>
            </w:r>
          </w:p>
          <w:p w14:paraId="1624EE0F">
            <w:pPr>
              <w:spacing w:line="360" w:lineRule="auto"/>
              <w:ind w:firstLine="480" w:firstLineChars="200"/>
              <w:jc w:val="left"/>
              <w:rPr>
                <w:rFonts w:hint="default" w:ascii="仿宋" w:hAnsi="仿宋" w:eastAsia="仿宋" w:cs="仿宋"/>
                <w:b/>
                <w:bCs w:val="0"/>
                <w:sz w:val="28"/>
                <w:szCs w:val="28"/>
                <w:lang w:val="en-US" w:eastAsia="zh-CN"/>
              </w:rPr>
            </w:pPr>
            <w:r>
              <w:rPr>
                <w:rFonts w:hint="eastAsia" w:ascii="宋体" w:hAnsi="宋体" w:eastAsia="宋体" w:cs="宋体"/>
                <w:b w:val="0"/>
                <w:bCs/>
                <w:sz w:val="24"/>
                <w:szCs w:val="24"/>
                <w:lang w:val="en-US" w:eastAsia="zh-CN"/>
              </w:rPr>
              <w:t>综上所述，该项目的研究成果总体达到国际先进水平。</w:t>
            </w:r>
          </w:p>
        </w:tc>
      </w:tr>
    </w:tbl>
    <w:p w14:paraId="3E6674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710CF"/>
    <w:rsid w:val="04AA19D1"/>
    <w:rsid w:val="0D9869FE"/>
    <w:rsid w:val="19856C4C"/>
    <w:rsid w:val="2B603F1D"/>
    <w:rsid w:val="2E160A4C"/>
    <w:rsid w:val="3B490A61"/>
    <w:rsid w:val="42984E79"/>
    <w:rsid w:val="4DE51E32"/>
    <w:rsid w:val="53B710CF"/>
    <w:rsid w:val="594510DC"/>
    <w:rsid w:val="598B630D"/>
    <w:rsid w:val="5A6334BB"/>
    <w:rsid w:val="5B5C6B36"/>
    <w:rsid w:val="763B45C8"/>
    <w:rsid w:val="7BC70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mathPrKeepDisplaySiz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表格"/>
    <w:basedOn w:val="1"/>
    <w:qFormat/>
    <w:uiPriority w:val="0"/>
    <w:pPr>
      <w:spacing w:line="240" w:lineRule="auto"/>
      <w:ind w:firstLine="0" w:firstLineChars="0"/>
      <w:jc w:val="center"/>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1496</Words>
  <Characters>1539</Characters>
  <Lines>0</Lines>
  <Paragraphs>0</Paragraphs>
  <TotalTime>1</TotalTime>
  <ScaleCrop>false</ScaleCrop>
  <LinksUpToDate>false</LinksUpToDate>
  <CharactersWithSpaces>1541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2026-03-13T07:03:00Z</dcterms:created>
  <dc:creator>wu yz</dc:creator>
  <cp:lastModifiedBy>Administrator</cp:lastModifiedBy>
  <dcterms:modified xsi:type="dcterms:W3CDTF">2026-09-21T01:26:00Z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D3DAC5F9F47A4777B1A4752AED7EA750_11</vt:lpwstr>
  </property>
  <property fmtid="{D5CDD505-2E9C-101B-9397-08002B2CF9AE}" pid="4" name="KSOTemplateDocerSaveRecord">
    <vt:lpwstr>eyJoZGlkIjoiMmU1ODEwYWY0NTQ2ZjU5MzJhMjJjN2E4MmMxOTgxNDgiLCJ1c2VySWQiOiI0MjgxODc5MzAifQ==</vt:lpwstr>
  </property>
</Properties>
</file>